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4FF8" w:rsidRDefault="009A49B6">
      <w:pPr>
        <w:jc w:val="center"/>
      </w:pPr>
      <w:bookmarkStart w:id="0" w:name="_GoBack"/>
      <w:bookmarkEnd w:id="0"/>
      <w:proofErr w:type="spellStart"/>
      <w:r>
        <w:rPr>
          <w:b/>
          <w:sz w:val="28"/>
          <w:szCs w:val="28"/>
        </w:rPr>
        <w:t>LeMoyne</w:t>
      </w:r>
      <w:proofErr w:type="spellEnd"/>
      <w:r>
        <w:rPr>
          <w:b/>
          <w:sz w:val="28"/>
          <w:szCs w:val="28"/>
        </w:rPr>
        <w:t>-Owen College</w:t>
      </w:r>
    </w:p>
    <w:p w:rsidR="00F64FF8" w:rsidRDefault="009A49B6">
      <w:pPr>
        <w:jc w:val="center"/>
      </w:pPr>
      <w:r>
        <w:rPr>
          <w:b/>
          <w:sz w:val="24"/>
          <w:szCs w:val="24"/>
        </w:rPr>
        <w:t>Business</w:t>
      </w:r>
    </w:p>
    <w:p w:rsidR="00F64FF8" w:rsidRDefault="009A49B6">
      <w:pPr>
        <w:jc w:val="center"/>
      </w:pPr>
      <w:r>
        <w:rPr>
          <w:b/>
          <w:sz w:val="24"/>
          <w:szCs w:val="24"/>
        </w:rPr>
        <w:t xml:space="preserve">ADCP335, Managerial Marketing, </w:t>
      </w:r>
      <w:r>
        <w:rPr>
          <w:b/>
          <w:sz w:val="24"/>
          <w:szCs w:val="24"/>
          <w:highlight w:val="yellow"/>
        </w:rPr>
        <w:t xml:space="preserve">Section </w:t>
      </w:r>
      <w:r>
        <w:rPr>
          <w:b/>
          <w:sz w:val="24"/>
          <w:szCs w:val="24"/>
        </w:rPr>
        <w:t>_TBA _</w:t>
      </w:r>
    </w:p>
    <w:p w:rsidR="00F64FF8" w:rsidRDefault="009A49B6">
      <w:pPr>
        <w:pStyle w:val="Heading5"/>
      </w:pPr>
      <w:r>
        <w:rPr>
          <w:sz w:val="24"/>
          <w:szCs w:val="24"/>
          <w:highlight w:val="yellow"/>
        </w:rPr>
        <w:t xml:space="preserve">Start:  2/9 &amp; 11/2016   </w:t>
      </w:r>
      <w:proofErr w:type="gramStart"/>
      <w:r>
        <w:rPr>
          <w:sz w:val="24"/>
          <w:szCs w:val="24"/>
          <w:highlight w:val="yellow"/>
        </w:rPr>
        <w:t>Spring</w:t>
      </w:r>
      <w:proofErr w:type="gramEnd"/>
      <w:r>
        <w:rPr>
          <w:sz w:val="24"/>
          <w:szCs w:val="24"/>
          <w:highlight w:val="yellow"/>
        </w:rPr>
        <w:t>, 201</w:t>
      </w:r>
      <w:r>
        <w:rPr>
          <w:sz w:val="24"/>
          <w:szCs w:val="24"/>
        </w:rPr>
        <w:t>6</w:t>
      </w:r>
    </w:p>
    <w:p w:rsidR="00F64FF8" w:rsidRDefault="00F64FF8"/>
    <w:p w:rsidR="00F64FF8" w:rsidRDefault="009A49B6">
      <w:r>
        <w:rPr>
          <w:b/>
          <w:sz w:val="24"/>
          <w:szCs w:val="24"/>
        </w:rPr>
        <w:t>Instructor: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highlight w:val="yellow"/>
        </w:rPr>
        <w:t>Prof.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highlight w:val="yellow"/>
        </w:rPr>
        <w:t>Allen L. Savage, Sr.</w:t>
      </w:r>
      <w:r>
        <w:rPr>
          <w:b/>
          <w:highlight w:val="yellow"/>
        </w:rPr>
        <w:t xml:space="preserve"> </w:t>
      </w:r>
    </w:p>
    <w:p w:rsidR="00F64FF8" w:rsidRDefault="009A49B6">
      <w:r>
        <w:rPr>
          <w:b/>
          <w:sz w:val="24"/>
          <w:szCs w:val="24"/>
        </w:rPr>
        <w:t>Office Room: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  <w:u w:val="single"/>
        </w:rPr>
        <w:t>TBA</w:t>
      </w:r>
      <w:r>
        <w:rPr>
          <w:b/>
          <w:sz w:val="24"/>
          <w:szCs w:val="24"/>
        </w:rPr>
        <w:t>____________</w:t>
      </w:r>
    </w:p>
    <w:p w:rsidR="00F64FF8" w:rsidRDefault="009A49B6">
      <w:r>
        <w:rPr>
          <w:b/>
        </w:rPr>
        <w:t>Office Phone:</w:t>
      </w:r>
      <w:r>
        <w:t xml:space="preserve"> </w:t>
      </w:r>
      <w:r>
        <w:tab/>
      </w:r>
      <w:r>
        <w:tab/>
      </w:r>
      <w:r>
        <w:rPr>
          <w:b/>
          <w:highlight w:val="yellow"/>
        </w:rPr>
        <w:t>(901) 314-6334</w:t>
      </w:r>
    </w:p>
    <w:p w:rsidR="00F64FF8" w:rsidRDefault="009A49B6">
      <w:r>
        <w:rPr>
          <w:b/>
          <w:sz w:val="24"/>
          <w:szCs w:val="24"/>
        </w:rPr>
        <w:t>Office Hours: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By Appointment</w:t>
      </w:r>
    </w:p>
    <w:p w:rsidR="00F64FF8" w:rsidRDefault="009A49B6">
      <w:r>
        <w:rPr>
          <w:b/>
          <w:sz w:val="24"/>
          <w:szCs w:val="24"/>
        </w:rPr>
        <w:t>Email Address: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hyperlink r:id="rId7">
        <w:r>
          <w:rPr>
            <w:sz w:val="28"/>
            <w:szCs w:val="28"/>
            <w:highlight w:val="yellow"/>
            <w:u w:val="single"/>
          </w:rPr>
          <w:t>allen_savage@loc.edu</w:t>
        </w:r>
      </w:hyperlink>
      <w:r>
        <w:rPr>
          <w:sz w:val="28"/>
          <w:szCs w:val="28"/>
        </w:rPr>
        <w:t xml:space="preserve"> </w:t>
      </w:r>
    </w:p>
    <w:p w:rsidR="00F64FF8" w:rsidRDefault="009A49B6">
      <w:r>
        <w:rPr>
          <w:sz w:val="28"/>
          <w:szCs w:val="28"/>
        </w:rPr>
        <w:t>Email Address:      allen.doc.savage@gmail.com</w:t>
      </w:r>
    </w:p>
    <w:p w:rsidR="00F64FF8" w:rsidRDefault="00F64FF8"/>
    <w:p w:rsidR="00F64FF8" w:rsidRDefault="009A49B6">
      <w:r>
        <w:rPr>
          <w:b/>
          <w:sz w:val="24"/>
          <w:szCs w:val="24"/>
        </w:rPr>
        <w:t>Credit Hours: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</w:t>
      </w:r>
    </w:p>
    <w:p w:rsidR="00F64FF8" w:rsidRDefault="009A49B6">
      <w:r>
        <w:rPr>
          <w:b/>
          <w:sz w:val="24"/>
          <w:szCs w:val="24"/>
        </w:rPr>
        <w:t>Prerequisites: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N/A</w:t>
      </w:r>
    </w:p>
    <w:p w:rsidR="00F64FF8" w:rsidRDefault="00F64FF8"/>
    <w:p w:rsidR="00F64FF8" w:rsidRDefault="009A49B6">
      <w:pPr>
        <w:pStyle w:val="Heading1"/>
      </w:pPr>
      <w:r>
        <w:rPr>
          <w:sz w:val="24"/>
          <w:szCs w:val="24"/>
        </w:rPr>
        <w:t>Syllabus</w:t>
      </w:r>
    </w:p>
    <w:p w:rsidR="00F64FF8" w:rsidRDefault="00F64FF8">
      <w:pPr>
        <w:jc w:val="center"/>
      </w:pPr>
    </w:p>
    <w:p w:rsidR="00F64FF8" w:rsidRDefault="009A49B6">
      <w:r>
        <w:rPr>
          <w:b/>
          <w:sz w:val="24"/>
          <w:szCs w:val="24"/>
        </w:rPr>
        <w:t xml:space="preserve">Texts: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Principles of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Marketing, 15</w:t>
      </w:r>
      <w:r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Edition   </w:t>
      </w:r>
      <w:r>
        <w:rPr>
          <w:sz w:val="24"/>
          <w:szCs w:val="24"/>
        </w:rPr>
        <w:t>Author: Philip Kotler and Gary Armstrong</w:t>
      </w:r>
    </w:p>
    <w:p w:rsidR="00F64FF8" w:rsidRDefault="009A49B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ISBN number   </w:t>
      </w:r>
      <w:r>
        <w:rPr>
          <w:b/>
          <w:i/>
          <w:sz w:val="24"/>
          <w:szCs w:val="24"/>
        </w:rPr>
        <w:t>978-0-13-308404-7</w:t>
      </w:r>
      <w:r>
        <w:rPr>
          <w:sz w:val="24"/>
          <w:szCs w:val="24"/>
        </w:rPr>
        <w:t xml:space="preserve"> </w:t>
      </w:r>
    </w:p>
    <w:p w:rsidR="00F64FF8" w:rsidRDefault="00F64FF8"/>
    <w:p w:rsidR="00F64FF8" w:rsidRDefault="009A49B6">
      <w:r>
        <w:rPr>
          <w:b/>
          <w:sz w:val="24"/>
          <w:szCs w:val="24"/>
        </w:rPr>
        <w:t xml:space="preserve"> </w:t>
      </w:r>
    </w:p>
    <w:p w:rsidR="00F64FF8" w:rsidRDefault="009A49B6">
      <w:pPr>
        <w:pStyle w:val="Heading3"/>
      </w:pPr>
      <w:r>
        <w:rPr>
          <w:rFonts w:ascii="Times New Roman" w:eastAsia="Times New Roman" w:hAnsi="Times New Roman" w:cs="Times New Roman"/>
          <w:b/>
          <w:i w:val="0"/>
        </w:rPr>
        <w:t>Supplemental Materials:</w:t>
      </w:r>
      <w:r>
        <w:rPr>
          <w:rFonts w:ascii="Times New Roman" w:eastAsia="Times New Roman" w:hAnsi="Times New Roman" w:cs="Times New Roman"/>
          <w:b/>
          <w:i w:val="0"/>
        </w:rPr>
        <w:tab/>
      </w:r>
      <w:r>
        <w:rPr>
          <w:rFonts w:ascii="Times New Roman" w:eastAsia="Times New Roman" w:hAnsi="Times New Roman" w:cs="Times New Roman"/>
          <w:b/>
          <w:i w:val="0"/>
          <w:highlight w:val="yellow"/>
        </w:rPr>
        <w:t>N/A</w:t>
      </w:r>
    </w:p>
    <w:p w:rsidR="00F64FF8" w:rsidRDefault="00F64FF8"/>
    <w:p w:rsidR="00F64FF8" w:rsidRDefault="009A49B6">
      <w:r>
        <w:rPr>
          <w:b/>
          <w:sz w:val="24"/>
          <w:szCs w:val="24"/>
        </w:rPr>
        <w:t xml:space="preserve">Course Description:  </w:t>
      </w:r>
      <w:r>
        <w:rPr>
          <w:rFonts w:ascii="Verdana" w:eastAsia="Verdana" w:hAnsi="Verdana" w:cs="Verdana"/>
          <w:sz w:val="24"/>
          <w:szCs w:val="24"/>
        </w:rPr>
        <w:t xml:space="preserve">This course emphasizes the marketing function in </w:t>
      </w:r>
      <w:proofErr w:type="gramStart"/>
      <w:r>
        <w:rPr>
          <w:rFonts w:ascii="Verdana" w:eastAsia="Verdana" w:hAnsi="Verdana" w:cs="Verdana"/>
          <w:sz w:val="24"/>
          <w:szCs w:val="24"/>
        </w:rPr>
        <w:t>the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aggregate economy. Topics include marketing principles: interpreting the </w:t>
      </w:r>
      <w:r>
        <w:rPr>
          <w:rFonts w:ascii="Verdana" w:eastAsia="Verdana" w:hAnsi="Verdana" w:cs="Verdana"/>
          <w:sz w:val="24"/>
          <w:szCs w:val="24"/>
        </w:rPr>
        <w:t xml:space="preserve">consumer behavior in light of culture; values and social norms in buying and selling; marketing theories and their applications in the business world; and selected case-studies and discussion. </w:t>
      </w:r>
    </w:p>
    <w:p w:rsidR="00F64FF8" w:rsidRDefault="00F64FF8"/>
    <w:p w:rsidR="00F64FF8" w:rsidRDefault="00F64FF8"/>
    <w:p w:rsidR="00F64FF8" w:rsidRDefault="009A49B6">
      <w:pPr>
        <w:ind w:left="720" w:hanging="720"/>
      </w:pPr>
      <w:r>
        <w:rPr>
          <w:b/>
          <w:sz w:val="24"/>
          <w:szCs w:val="24"/>
        </w:rPr>
        <w:t>College Graduate Competencies:</w:t>
      </w:r>
      <w:r>
        <w:rPr>
          <w:b/>
          <w:sz w:val="24"/>
          <w:szCs w:val="24"/>
        </w:rPr>
        <w:tab/>
      </w:r>
    </w:p>
    <w:p w:rsidR="00F64FF8" w:rsidRDefault="009A49B6">
      <w:r>
        <w:rPr>
          <w:sz w:val="24"/>
          <w:szCs w:val="24"/>
        </w:rPr>
        <w:t xml:space="preserve">The two college graduate competencies (CGC) that are directly addressed in [Insert course title.] are: </w:t>
      </w:r>
    </w:p>
    <w:p w:rsidR="00F64FF8" w:rsidRDefault="009A49B6">
      <w:pPr>
        <w:ind w:left="720" w:hanging="720"/>
      </w:pPr>
      <w:r>
        <w:rPr>
          <w:sz w:val="24"/>
          <w:szCs w:val="24"/>
        </w:rPr>
        <w:t>1. Appreciate, understand, now and pursue the principles, methods and subject matter that underlie the major discipline.</w:t>
      </w:r>
    </w:p>
    <w:p w:rsidR="00F64FF8" w:rsidRDefault="009A49B6">
      <w:pPr>
        <w:ind w:left="720" w:hanging="720"/>
      </w:pPr>
      <w:r>
        <w:rPr>
          <w:sz w:val="24"/>
          <w:szCs w:val="24"/>
        </w:rPr>
        <w:tab/>
      </w:r>
    </w:p>
    <w:p w:rsidR="00F64FF8" w:rsidRDefault="009A49B6">
      <w:r>
        <w:rPr>
          <w:sz w:val="24"/>
          <w:szCs w:val="24"/>
        </w:rPr>
        <w:t>2.  Attain motivational, pers</w:t>
      </w:r>
      <w:r>
        <w:rPr>
          <w:sz w:val="24"/>
          <w:szCs w:val="24"/>
        </w:rPr>
        <w:t xml:space="preserve">onal management, interpersonal skills, professional development and research experience, as well as resourcefulness that will form the basis for a career and/or further educational experiences. </w:t>
      </w:r>
      <w:r>
        <w:rPr>
          <w:sz w:val="24"/>
          <w:szCs w:val="24"/>
        </w:rPr>
        <w:tab/>
      </w:r>
    </w:p>
    <w:p w:rsidR="00F64FF8" w:rsidRDefault="00F64FF8"/>
    <w:p w:rsidR="00F64FF8" w:rsidRDefault="009A49B6">
      <w:r>
        <w:rPr>
          <w:b/>
          <w:sz w:val="24"/>
          <w:szCs w:val="24"/>
        </w:rPr>
        <w:t xml:space="preserve">Course Objectives: </w:t>
      </w:r>
      <w:r>
        <w:rPr>
          <w:b/>
          <w:sz w:val="24"/>
          <w:szCs w:val="24"/>
        </w:rPr>
        <w:tab/>
      </w:r>
    </w:p>
    <w:p w:rsidR="00F64FF8" w:rsidRDefault="009A49B6">
      <w:r>
        <w:rPr>
          <w:sz w:val="24"/>
          <w:szCs w:val="24"/>
        </w:rPr>
        <w:t>1. Understand the need to adapt to the</w:t>
      </w:r>
      <w:r>
        <w:rPr>
          <w:sz w:val="24"/>
          <w:szCs w:val="24"/>
        </w:rPr>
        <w:t xml:space="preserve"> changing marketing environment </w:t>
      </w:r>
    </w:p>
    <w:p w:rsidR="00F64FF8" w:rsidRDefault="009A49B6">
      <w:pPr>
        <w:spacing w:after="240"/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sz w:val="24"/>
          <w:szCs w:val="24"/>
        </w:rPr>
        <w:t>Synthesize conclusions and outcomes of literature in the field of managerial marketing.</w:t>
      </w:r>
    </w:p>
    <w:p w:rsidR="00F64FF8" w:rsidRDefault="009A49B6">
      <w:pPr>
        <w:spacing w:after="240"/>
      </w:pPr>
      <w:r>
        <w:rPr>
          <w:sz w:val="24"/>
          <w:szCs w:val="24"/>
        </w:rPr>
        <w:lastRenderedPageBreak/>
        <w:t>3. Identify transformations in the economy and discuss how it can strongly influence marketing strategies.</w:t>
      </w:r>
    </w:p>
    <w:p w:rsidR="00F64FF8" w:rsidRDefault="009A49B6">
      <w:pPr>
        <w:spacing w:after="240"/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Demonstrate critical t</w:t>
      </w:r>
      <w:r>
        <w:rPr>
          <w:sz w:val="24"/>
          <w:szCs w:val="24"/>
        </w:rPr>
        <w:t>hinking by discussing topics related to marketing in a dynamic environment</w:t>
      </w:r>
    </w:p>
    <w:p w:rsidR="00F64FF8" w:rsidRDefault="00F64FF8"/>
    <w:p w:rsidR="00F64FF8" w:rsidRDefault="009A49B6">
      <w:r>
        <w:rPr>
          <w:b/>
          <w:sz w:val="24"/>
          <w:szCs w:val="24"/>
        </w:rPr>
        <w:t>Attendance Policy:</w:t>
      </w:r>
      <w:r>
        <w:rPr>
          <w:sz w:val="24"/>
          <w:szCs w:val="24"/>
        </w:rPr>
        <w:t xml:space="preserve"> In accordance with college policy, classroom attendance is required.  The following standard will be applied:</w:t>
      </w:r>
    </w:p>
    <w:p w:rsidR="00F64FF8" w:rsidRDefault="00F64FF8"/>
    <w:p w:rsidR="00F64FF8" w:rsidRDefault="009A49B6">
      <w:pPr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If unexcused absences total 15% of the regularly scheduled class meetings, the instructor has the authority to lower the final grade by one letter.</w:t>
      </w:r>
    </w:p>
    <w:p w:rsidR="00F64FF8" w:rsidRDefault="009A49B6">
      <w:pPr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If unexcused absences total 20% of the regularly scheduled class meetings, the instructor has the authority </w:t>
      </w:r>
      <w:r>
        <w:rPr>
          <w:sz w:val="24"/>
          <w:szCs w:val="24"/>
        </w:rPr>
        <w:t>to give a failing grade.</w:t>
      </w:r>
    </w:p>
    <w:p w:rsidR="00F64FF8" w:rsidRDefault="009A49B6">
      <w:pPr>
        <w:numPr>
          <w:ilvl w:val="0"/>
          <w:numId w:val="3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Five </w:t>
      </w:r>
      <w:proofErr w:type="spellStart"/>
      <w:r>
        <w:rPr>
          <w:sz w:val="24"/>
          <w:szCs w:val="24"/>
        </w:rPr>
        <w:t>tardies</w:t>
      </w:r>
      <w:proofErr w:type="spellEnd"/>
      <w:r>
        <w:rPr>
          <w:sz w:val="24"/>
          <w:szCs w:val="24"/>
        </w:rPr>
        <w:t>—arrival to class five minutes after class has begun—will equal one unexcused absence.</w:t>
      </w:r>
    </w:p>
    <w:p w:rsidR="00F64FF8" w:rsidRDefault="00F64FF8">
      <w:pPr>
        <w:ind w:left="2160" w:hanging="2160"/>
      </w:pPr>
    </w:p>
    <w:p w:rsidR="00F64FF8" w:rsidRDefault="009A49B6">
      <w:pPr>
        <w:ind w:left="2160" w:hanging="2160"/>
      </w:pPr>
      <w:r>
        <w:rPr>
          <w:b/>
          <w:sz w:val="24"/>
          <w:szCs w:val="24"/>
        </w:rPr>
        <w:t>Technology Use: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LeMoyne</w:t>
      </w:r>
      <w:proofErr w:type="spellEnd"/>
      <w:r>
        <w:rPr>
          <w:sz w:val="24"/>
          <w:szCs w:val="24"/>
        </w:rPr>
        <w:t>-Owen College is committed to enhancing student learning through the use of a variety of applicable technolo</w:t>
      </w:r>
      <w:r>
        <w:rPr>
          <w:sz w:val="24"/>
          <w:szCs w:val="24"/>
        </w:rPr>
        <w:t xml:space="preserve">gy.  </w:t>
      </w:r>
    </w:p>
    <w:p w:rsidR="00F64FF8" w:rsidRDefault="009A49B6">
      <w:pPr>
        <w:ind w:left="2160"/>
      </w:pPr>
      <w:r>
        <w:rPr>
          <w:sz w:val="24"/>
          <w:szCs w:val="24"/>
        </w:rPr>
        <w:t>In this course, students will use or be exposed to [software and/or hardware].</w:t>
      </w:r>
    </w:p>
    <w:p w:rsidR="00F64FF8" w:rsidRDefault="00F64FF8"/>
    <w:p w:rsidR="00F64FF8" w:rsidRDefault="009A49B6">
      <w:pPr>
        <w:ind w:left="1440" w:hanging="1440"/>
      </w:pPr>
      <w:r>
        <w:rPr>
          <w:b/>
          <w:sz w:val="24"/>
          <w:szCs w:val="24"/>
        </w:rPr>
        <w:t>Demeanor:</w:t>
      </w:r>
      <w:r>
        <w:rPr>
          <w:sz w:val="24"/>
          <w:szCs w:val="24"/>
        </w:rPr>
        <w:tab/>
        <w:t xml:space="preserve">Suitable demeanor, posture and attire are required.  For guidelines and the dress code, please refer to the 2011/2012 Student Handbook (8-9; 13).  </w:t>
      </w:r>
    </w:p>
    <w:p w:rsidR="00F64FF8" w:rsidRDefault="00F64FF8"/>
    <w:p w:rsidR="00F64FF8" w:rsidRDefault="009A49B6">
      <w:r>
        <w:rPr>
          <w:b/>
          <w:sz w:val="24"/>
          <w:szCs w:val="24"/>
        </w:rPr>
        <w:t>Classroom P</w:t>
      </w:r>
      <w:r>
        <w:rPr>
          <w:b/>
          <w:sz w:val="24"/>
          <w:szCs w:val="24"/>
        </w:rPr>
        <w:t>olicies and Procedures:</w:t>
      </w:r>
    </w:p>
    <w:p w:rsidR="00F64FF8" w:rsidRDefault="009A49B6">
      <w:r>
        <w:rPr>
          <w:sz w:val="24"/>
          <w:szCs w:val="24"/>
        </w:rPr>
        <w:t xml:space="preserve">The classroom learning experience provides opportunities for faculty and students to engage in interactive exchanges of course content.  To facilitate this exchange, the following guidelines are provided: </w:t>
      </w:r>
    </w:p>
    <w:p w:rsidR="00F64FF8" w:rsidRDefault="00F64FF8"/>
    <w:p w:rsidR="00F64FF8" w:rsidRDefault="009A49B6">
      <w:pPr>
        <w:ind w:left="720" w:hanging="720"/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Because each class session covers vital material and information, it is important that students arrive on time to each class session.  </w:t>
      </w:r>
    </w:p>
    <w:p w:rsidR="00F64FF8" w:rsidRDefault="00F64FF8">
      <w:pPr>
        <w:ind w:left="720" w:hanging="720"/>
      </w:pPr>
    </w:p>
    <w:p w:rsidR="00F64FF8" w:rsidRDefault="009A49B6">
      <w:pPr>
        <w:ind w:left="720" w:hanging="720"/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In order to enhance students’ performance and confidence in acquiring the material, it is critical that students co</w:t>
      </w:r>
      <w:r>
        <w:rPr>
          <w:sz w:val="24"/>
          <w:szCs w:val="24"/>
        </w:rPr>
        <w:t>me to each class session prepared. This includes bringing to class required texts, supplemental materials, and assigned work, which is provided on the course outline.</w:t>
      </w:r>
    </w:p>
    <w:p w:rsidR="00F64FF8" w:rsidRDefault="00F64FF8"/>
    <w:p w:rsidR="00F64FF8" w:rsidRDefault="009A49B6">
      <w:pPr>
        <w:ind w:left="720" w:hanging="720"/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In order to limit unnecessary distractions which would deter learning, cell phones, m</w:t>
      </w:r>
      <w:r>
        <w:rPr>
          <w:sz w:val="24"/>
          <w:szCs w:val="24"/>
        </w:rPr>
        <w:t>ulti-media devices, and laptops are required to be turned off or on vibrate when class is in session, except by permission of the faculty.</w:t>
      </w:r>
    </w:p>
    <w:p w:rsidR="00F64FF8" w:rsidRDefault="00F64FF8"/>
    <w:p w:rsidR="00F64FF8" w:rsidRDefault="009A49B6">
      <w:r>
        <w:rPr>
          <w:sz w:val="24"/>
          <w:szCs w:val="24"/>
        </w:rPr>
        <w:t>Faculty reserve the right to apply penalties for noncompliance to either or all of the above guidelines.</w:t>
      </w:r>
    </w:p>
    <w:p w:rsidR="00F64FF8" w:rsidRDefault="00F64FF8"/>
    <w:p w:rsidR="00F64FF8" w:rsidRDefault="00F64FF8"/>
    <w:p w:rsidR="00F64FF8" w:rsidRDefault="00F64FF8"/>
    <w:p w:rsidR="00F64FF8" w:rsidRDefault="009A49B6">
      <w:r>
        <w:rPr>
          <w:b/>
          <w:sz w:val="24"/>
          <w:szCs w:val="24"/>
        </w:rPr>
        <w:t>Assignme</w:t>
      </w:r>
      <w:r>
        <w:rPr>
          <w:b/>
          <w:sz w:val="24"/>
          <w:szCs w:val="24"/>
        </w:rPr>
        <w:t xml:space="preserve">nts and Submission Requirements: </w:t>
      </w:r>
    </w:p>
    <w:p w:rsidR="00F64FF8" w:rsidRDefault="009A49B6">
      <w:r>
        <w:rPr>
          <w:color w:val="000080"/>
          <w:sz w:val="24"/>
          <w:szCs w:val="24"/>
        </w:rPr>
        <w:t>Because of the accelerated nature of this class, students in this cohort will be expected to complete 20-25 contact hours outside of class on group assignments and/or projects.</w:t>
      </w:r>
    </w:p>
    <w:p w:rsidR="00F64FF8" w:rsidRDefault="009A49B6">
      <w:r>
        <w:rPr>
          <w:sz w:val="24"/>
          <w:szCs w:val="24"/>
          <w:highlight w:val="yellow"/>
        </w:rPr>
        <w:t>Students are allowed to submit assignments in</w:t>
      </w:r>
      <w:r>
        <w:rPr>
          <w:sz w:val="24"/>
          <w:szCs w:val="24"/>
          <w:highlight w:val="yellow"/>
        </w:rPr>
        <w:t xml:space="preserve"> hard copy or by email to the instructor</w:t>
      </w:r>
      <w:r>
        <w:rPr>
          <w:sz w:val="24"/>
          <w:szCs w:val="24"/>
        </w:rPr>
        <w:t>.</w:t>
      </w:r>
    </w:p>
    <w:p w:rsidR="00F64FF8" w:rsidRDefault="00F64FF8"/>
    <w:p w:rsidR="00F64FF8" w:rsidRDefault="009A49B6">
      <w:r>
        <w:rPr>
          <w:b/>
          <w:sz w:val="24"/>
          <w:szCs w:val="24"/>
        </w:rPr>
        <w:t>Assessment and Submission Requirements:</w:t>
      </w:r>
      <w:r>
        <w:rPr>
          <w:sz w:val="24"/>
          <w:szCs w:val="24"/>
        </w:rPr>
        <w:t xml:space="preserve"> </w:t>
      </w:r>
    </w:p>
    <w:p w:rsidR="00F64FF8" w:rsidRDefault="009A49B6">
      <w:r>
        <w:rPr>
          <w:sz w:val="24"/>
          <w:szCs w:val="24"/>
          <w:highlight w:val="yellow"/>
        </w:rPr>
        <w:t>Students will be assessed based on group projects, class presentations, ticket out the door, assignments, and final exam.</w:t>
      </w:r>
    </w:p>
    <w:p w:rsidR="00F64FF8" w:rsidRDefault="00F64FF8"/>
    <w:p w:rsidR="00F64FF8" w:rsidRDefault="009A49B6">
      <w:r>
        <w:rPr>
          <w:b/>
          <w:sz w:val="24"/>
          <w:szCs w:val="24"/>
        </w:rPr>
        <w:t>Policies Related to Students with Disabilities:</w:t>
      </w:r>
      <w:r>
        <w:rPr>
          <w:sz w:val="24"/>
          <w:szCs w:val="24"/>
        </w:rPr>
        <w:tab/>
      </w:r>
    </w:p>
    <w:p w:rsidR="00F64FF8" w:rsidRDefault="009A49B6">
      <w:pPr>
        <w:ind w:left="1440"/>
      </w:pPr>
      <w:r>
        <w:rPr>
          <w:sz w:val="24"/>
          <w:szCs w:val="24"/>
        </w:rPr>
        <w:t>If you need course adaptations or accommodations because of a disability, if you have emergency medical information to share, or if you need special arrangements in case the building must be evacuated, please make an appointment with Jean Saulsberry, Direc</w:t>
      </w:r>
      <w:r>
        <w:rPr>
          <w:sz w:val="24"/>
          <w:szCs w:val="24"/>
        </w:rPr>
        <w:t>tor of Student Development, as soon as possible at (901) 435-1727. The Student Development Office is located in the Alma C. Hanson Student Center, Room 208.</w:t>
      </w:r>
    </w:p>
    <w:p w:rsidR="00F64FF8" w:rsidRDefault="00F64FF8"/>
    <w:p w:rsidR="00F64FF8" w:rsidRDefault="009A49B6">
      <w:r>
        <w:rPr>
          <w:b/>
          <w:sz w:val="24"/>
          <w:szCs w:val="24"/>
        </w:rPr>
        <w:t>Grade Scale: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90-100</w:t>
      </w:r>
      <w:r>
        <w:rPr>
          <w:sz w:val="24"/>
          <w:szCs w:val="24"/>
        </w:rPr>
        <w:tab/>
        <w:t xml:space="preserve"> A; 80-89 B; 70-79 C; 60-69 D; 59 &amp; Below</w:t>
      </w:r>
      <w:r>
        <w:rPr>
          <w:sz w:val="24"/>
          <w:szCs w:val="24"/>
        </w:rPr>
        <w:tab/>
        <w:t>F</w:t>
      </w:r>
    </w:p>
    <w:p w:rsidR="00F64FF8" w:rsidRDefault="00F64FF8"/>
    <w:p w:rsidR="00F64FF8" w:rsidRDefault="009A49B6">
      <w:r>
        <w:rPr>
          <w:b/>
          <w:sz w:val="24"/>
          <w:szCs w:val="24"/>
        </w:rPr>
        <w:t>Student Performance Evaluation: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64FF8" w:rsidRDefault="009A49B6">
      <w:r>
        <w:rPr>
          <w:sz w:val="24"/>
          <w:szCs w:val="24"/>
          <w:highlight w:val="yellow"/>
        </w:rPr>
        <w:t>1. Identify the areas to assess student performance.</w:t>
      </w:r>
    </w:p>
    <w:p w:rsidR="00F64FF8" w:rsidRDefault="009A49B6">
      <w:r>
        <w:rPr>
          <w:sz w:val="24"/>
          <w:szCs w:val="24"/>
          <w:highlight w:val="yellow"/>
        </w:rPr>
        <w:t>2. Specify the weight of those areas by a percentage or point system.</w:t>
      </w:r>
    </w:p>
    <w:p w:rsidR="00F64FF8" w:rsidRDefault="00F64FF8"/>
    <w:p w:rsidR="00F64FF8" w:rsidRDefault="009A49B6">
      <w:pPr>
        <w:pStyle w:val="Title"/>
      </w:pPr>
      <w:proofErr w:type="spellStart"/>
      <w:r>
        <w:rPr>
          <w:sz w:val="28"/>
          <w:szCs w:val="28"/>
        </w:rPr>
        <w:t>LeMoyne</w:t>
      </w:r>
      <w:proofErr w:type="spellEnd"/>
      <w:r>
        <w:rPr>
          <w:sz w:val="28"/>
          <w:szCs w:val="28"/>
        </w:rPr>
        <w:t>-Owen College Graduate Competencies (CGC)</w:t>
      </w:r>
    </w:p>
    <w:p w:rsidR="00F64FF8" w:rsidRDefault="00F64FF8">
      <w:pPr>
        <w:pStyle w:val="Title"/>
      </w:pPr>
    </w:p>
    <w:p w:rsidR="00F64FF8" w:rsidRDefault="009A49B6">
      <w:proofErr w:type="spellStart"/>
      <w:r>
        <w:rPr>
          <w:b/>
          <w:sz w:val="24"/>
          <w:szCs w:val="24"/>
        </w:rPr>
        <w:t>LeMoyne</w:t>
      </w:r>
      <w:proofErr w:type="spellEnd"/>
      <w:r>
        <w:rPr>
          <w:b/>
          <w:sz w:val="24"/>
          <w:szCs w:val="24"/>
        </w:rPr>
        <w:t>-Owen College graduates should be able to:</w:t>
      </w:r>
    </w:p>
    <w:p w:rsidR="00F64FF8" w:rsidRDefault="00F64FF8">
      <w:pPr>
        <w:jc w:val="center"/>
      </w:pPr>
    </w:p>
    <w:p w:rsidR="00F64FF8" w:rsidRDefault="009A49B6">
      <w:pPr>
        <w:ind w:left="720" w:hanging="720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>Think creatively, critically, logically, and analytically using both quantitative and qualitative methods for problem solving;</w:t>
      </w:r>
    </w:p>
    <w:p w:rsidR="00F64FF8" w:rsidRDefault="009A49B6">
      <w:r>
        <w:rPr>
          <w:sz w:val="24"/>
          <w:szCs w:val="24"/>
        </w:rPr>
        <w:t xml:space="preserve">2.  </w:t>
      </w:r>
      <w:r>
        <w:rPr>
          <w:sz w:val="24"/>
          <w:szCs w:val="24"/>
        </w:rPr>
        <w:tab/>
        <w:t>Communicate effectively (listen, speak, read, and write) on formal and informal</w:t>
      </w:r>
      <w:r>
        <w:rPr>
          <w:sz w:val="24"/>
          <w:szCs w:val="24"/>
        </w:rPr>
        <w:tab/>
        <w:t>levels;</w:t>
      </w:r>
    </w:p>
    <w:p w:rsidR="00F64FF8" w:rsidRDefault="009A49B6">
      <w:pPr>
        <w:ind w:left="720" w:hanging="720"/>
      </w:pPr>
      <w:r>
        <w:rPr>
          <w:sz w:val="24"/>
          <w:szCs w:val="24"/>
        </w:rPr>
        <w:t xml:space="preserve">3.  </w:t>
      </w:r>
      <w:r>
        <w:rPr>
          <w:sz w:val="24"/>
          <w:szCs w:val="24"/>
        </w:rPr>
        <w:tab/>
        <w:t>Distinguish, clarify, and refin</w:t>
      </w:r>
      <w:r>
        <w:rPr>
          <w:sz w:val="24"/>
          <w:szCs w:val="24"/>
        </w:rPr>
        <w:t>e personal values for the attainment of richer self-perception and relate those values to the value system of others;</w:t>
      </w:r>
    </w:p>
    <w:p w:rsidR="00F64FF8" w:rsidRDefault="009A49B6">
      <w:r>
        <w:rPr>
          <w:sz w:val="24"/>
          <w:szCs w:val="24"/>
        </w:rPr>
        <w:t xml:space="preserve">4.  </w:t>
      </w:r>
      <w:r>
        <w:rPr>
          <w:sz w:val="24"/>
          <w:szCs w:val="24"/>
        </w:rPr>
        <w:tab/>
        <w:t>Appreciate, understand, and know the foundations of the Afrocentric perspective;</w:t>
      </w:r>
    </w:p>
    <w:p w:rsidR="00F64FF8" w:rsidRDefault="009A49B6">
      <w:pPr>
        <w:ind w:left="720" w:hanging="720"/>
      </w:pPr>
      <w:r>
        <w:rPr>
          <w:sz w:val="24"/>
          <w:szCs w:val="24"/>
        </w:rPr>
        <w:t xml:space="preserve">5.  </w:t>
      </w:r>
      <w:r>
        <w:rPr>
          <w:sz w:val="24"/>
          <w:szCs w:val="24"/>
        </w:rPr>
        <w:tab/>
        <w:t>Appreciate, understand, and know the foundation</w:t>
      </w:r>
      <w:r>
        <w:rPr>
          <w:sz w:val="24"/>
          <w:szCs w:val="24"/>
        </w:rPr>
        <w:t>s of diverse cultures in the context of a global community;</w:t>
      </w:r>
    </w:p>
    <w:p w:rsidR="00F64FF8" w:rsidRDefault="009A49B6">
      <w:pPr>
        <w:ind w:left="720" w:hanging="720"/>
      </w:pPr>
      <w:r>
        <w:rPr>
          <w:sz w:val="24"/>
          <w:szCs w:val="24"/>
        </w:rPr>
        <w:t xml:space="preserve">6.  </w:t>
      </w:r>
      <w:r>
        <w:rPr>
          <w:sz w:val="24"/>
          <w:szCs w:val="24"/>
        </w:rPr>
        <w:tab/>
        <w:t>Appreciate, understand, now and pursue the principles, methods and subject matter that underlie the major discipline(s);</w:t>
      </w:r>
    </w:p>
    <w:p w:rsidR="00F64FF8" w:rsidRDefault="009A49B6">
      <w:r>
        <w:rPr>
          <w:sz w:val="24"/>
          <w:szCs w:val="24"/>
        </w:rPr>
        <w:t xml:space="preserve">7.  </w:t>
      </w:r>
      <w:r>
        <w:rPr>
          <w:sz w:val="24"/>
          <w:szCs w:val="24"/>
        </w:rPr>
        <w:tab/>
        <w:t>Accept social responsibility and provide service to humankind;</w:t>
      </w:r>
    </w:p>
    <w:p w:rsidR="00F64FF8" w:rsidRDefault="009A49B6">
      <w:pPr>
        <w:ind w:left="720" w:hanging="720"/>
      </w:pP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tab/>
        <w:t>Maintain levels of literacy that allow them to understand the impact of science and technology on individuals, society, and the environment;</w:t>
      </w:r>
    </w:p>
    <w:p w:rsidR="00F64FF8" w:rsidRDefault="009A49B6">
      <w:pPr>
        <w:ind w:left="720" w:hanging="720"/>
      </w:pPr>
      <w:r>
        <w:rPr>
          <w:sz w:val="24"/>
          <w:szCs w:val="24"/>
        </w:rPr>
        <w:t xml:space="preserve">9.  </w:t>
      </w:r>
      <w:r>
        <w:rPr>
          <w:sz w:val="24"/>
          <w:szCs w:val="24"/>
        </w:rPr>
        <w:tab/>
        <w:t>Attain motivational, personal management, interpersonal skills, professional development and research exper</w:t>
      </w:r>
      <w:r>
        <w:rPr>
          <w:sz w:val="24"/>
          <w:szCs w:val="24"/>
        </w:rPr>
        <w:t>ience, as well as resourcefulness that will form the basis for a career and/or further educational experiences;</w:t>
      </w:r>
    </w:p>
    <w:p w:rsidR="00F64FF8" w:rsidRDefault="009A49B6">
      <w:pPr>
        <w:ind w:left="720" w:hanging="720"/>
      </w:pPr>
      <w:r>
        <w:rPr>
          <w:sz w:val="24"/>
          <w:szCs w:val="24"/>
        </w:rPr>
        <w:lastRenderedPageBreak/>
        <w:t xml:space="preserve">10. </w:t>
      </w:r>
      <w:r>
        <w:rPr>
          <w:sz w:val="24"/>
          <w:szCs w:val="24"/>
        </w:rPr>
        <w:tab/>
        <w:t>Attain critical skills, frame of reference, and understanding needed to appreciate and discriminate between artistic achievements.</w:t>
      </w:r>
    </w:p>
    <w:p w:rsidR="00F64FF8" w:rsidRDefault="00F64FF8">
      <w:pPr>
        <w:jc w:val="center"/>
      </w:pPr>
    </w:p>
    <w:p w:rsidR="00F64FF8" w:rsidRDefault="009A49B6">
      <w:pPr>
        <w:jc w:val="center"/>
      </w:pPr>
      <w:r>
        <w:rPr>
          <w:b/>
          <w:sz w:val="24"/>
          <w:szCs w:val="24"/>
        </w:rPr>
        <w:t>ADCP335</w:t>
      </w:r>
      <w:r>
        <w:rPr>
          <w:b/>
          <w:sz w:val="24"/>
          <w:szCs w:val="24"/>
        </w:rPr>
        <w:t xml:space="preserve"> Managerial Marketing, </w:t>
      </w:r>
      <w:r>
        <w:rPr>
          <w:b/>
          <w:sz w:val="24"/>
          <w:szCs w:val="24"/>
          <w:highlight w:val="yellow"/>
        </w:rPr>
        <w:t xml:space="preserve">Section </w:t>
      </w:r>
      <w:r>
        <w:rPr>
          <w:b/>
          <w:sz w:val="24"/>
          <w:szCs w:val="24"/>
          <w:highlight w:val="yellow"/>
          <w:u w:val="single"/>
        </w:rPr>
        <w:t>TBA_</w:t>
      </w:r>
    </w:p>
    <w:p w:rsidR="00F64FF8" w:rsidRDefault="009A49B6">
      <w:pPr>
        <w:jc w:val="center"/>
      </w:pPr>
      <w:r>
        <w:rPr>
          <w:b/>
          <w:sz w:val="24"/>
          <w:szCs w:val="24"/>
        </w:rPr>
        <w:t>Course Outline</w:t>
      </w:r>
    </w:p>
    <w:p w:rsidR="00F64FF8" w:rsidRDefault="00F64FF8">
      <w:pPr>
        <w:jc w:val="center"/>
      </w:pPr>
    </w:p>
    <w:p w:rsidR="00F64FF8" w:rsidRDefault="009A49B6">
      <w:pPr>
        <w:jc w:val="center"/>
      </w:pPr>
      <w:r>
        <w:rPr>
          <w:rFonts w:ascii="Arial" w:eastAsia="Arial" w:hAnsi="Arial" w:cs="Arial"/>
          <w:b/>
          <w:sz w:val="24"/>
          <w:szCs w:val="24"/>
          <w:highlight w:val="yellow"/>
        </w:rPr>
        <w:t>Weekly Course Schedule</w:t>
      </w:r>
    </w:p>
    <w:p w:rsidR="00F64FF8" w:rsidRDefault="009A49B6">
      <w:r>
        <w:rPr>
          <w:rFonts w:ascii="Arial" w:eastAsia="Arial" w:hAnsi="Arial" w:cs="Arial"/>
          <w:highlight w:val="yellow"/>
        </w:rPr>
        <w:t> </w:t>
      </w:r>
    </w:p>
    <w:tbl>
      <w:tblPr>
        <w:tblStyle w:val="a"/>
        <w:tblW w:w="8515" w:type="dxa"/>
        <w:tblLayout w:type="fixed"/>
        <w:tblLook w:val="0000" w:firstRow="0" w:lastRow="0" w:firstColumn="0" w:lastColumn="0" w:noHBand="0" w:noVBand="0"/>
      </w:tblPr>
      <w:tblGrid>
        <w:gridCol w:w="1666"/>
        <w:gridCol w:w="6849"/>
      </w:tblGrid>
      <w:tr w:rsidR="00F64FF8"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rFonts w:ascii="Arial" w:eastAsia="Arial" w:hAnsi="Arial" w:cs="Arial"/>
                <w:b/>
                <w:highlight w:val="yellow"/>
              </w:rPr>
              <w:t>Week 1</w:t>
            </w:r>
          </w:p>
        </w:tc>
        <w:tc>
          <w:tcPr>
            <w:tcW w:w="6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highlight w:val="yellow"/>
              </w:rPr>
              <w:t>Introduction of the Course</w:t>
            </w: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>
            <w:pPr>
              <w:ind w:left="360"/>
            </w:pP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pPr>
              <w:spacing w:after="240"/>
            </w:pPr>
            <w:r>
              <w:rPr>
                <w:highlight w:val="yellow"/>
              </w:rPr>
              <w:t>Discuss Part 1</w:t>
            </w: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pPr>
              <w:spacing w:after="240"/>
            </w:pPr>
            <w:r>
              <w:rPr>
                <w:highlight w:val="yellow"/>
              </w:rPr>
              <w:t>Assign Teams/Work on Team Project</w:t>
            </w:r>
          </w:p>
          <w:p w:rsidR="00F64FF8" w:rsidRDefault="009A49B6">
            <w:pPr>
              <w:spacing w:after="240"/>
            </w:pPr>
            <w:r>
              <w:rPr>
                <w:highlight w:val="yellow"/>
              </w:rPr>
              <w:t xml:space="preserve">Discuss Assignments </w:t>
            </w:r>
          </w:p>
          <w:p w:rsidR="00F64FF8" w:rsidRDefault="009A49B6">
            <w:pPr>
              <w:spacing w:after="240"/>
            </w:pPr>
            <w:r>
              <w:rPr>
                <w:highlight w:val="yellow"/>
              </w:rPr>
              <w:t>Ticket out the Door:</w:t>
            </w:r>
          </w:p>
          <w:p w:rsidR="00F64FF8" w:rsidRDefault="009A49B6">
            <w:pPr>
              <w:numPr>
                <w:ilvl w:val="0"/>
                <w:numId w:val="2"/>
              </w:numPr>
              <w:spacing w:after="240"/>
              <w:ind w:hanging="360"/>
              <w:rPr>
                <w:highlight w:val="yellow"/>
              </w:rPr>
            </w:pPr>
            <w:r>
              <w:rPr>
                <w:highlight w:val="yellow"/>
              </w:rPr>
              <w:t xml:space="preserve"> Shark Tank </w:t>
            </w: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rFonts w:ascii="Arial" w:eastAsia="Arial" w:hAnsi="Arial" w:cs="Arial"/>
                <w:b/>
                <w:highlight w:val="yellow"/>
              </w:rPr>
              <w:t>Weeks 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rFonts w:ascii="Arial" w:eastAsia="Arial" w:hAnsi="Arial" w:cs="Arial"/>
                <w:b/>
                <w:highlight w:val="yellow"/>
              </w:rPr>
              <w:t> </w:t>
            </w:r>
          </w:p>
        </w:tc>
      </w:tr>
      <w:tr w:rsidR="00F64FF8">
        <w:trPr>
          <w:trHeight w:val="80"/>
        </w:trPr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highlight w:val="yellow"/>
              </w:rPr>
              <w:t>Discuss Parts 1 &amp; 2</w:t>
            </w: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pPr>
              <w:spacing w:after="240"/>
            </w:pPr>
            <w:r>
              <w:rPr>
                <w:highlight w:val="yellow"/>
              </w:rPr>
              <w:t>Assignments Due:</w:t>
            </w:r>
          </w:p>
          <w:p w:rsidR="00F64FF8" w:rsidRDefault="009A49B6">
            <w:pPr>
              <w:numPr>
                <w:ilvl w:val="0"/>
                <w:numId w:val="1"/>
              </w:numPr>
              <w:spacing w:after="240"/>
              <w:ind w:hanging="360"/>
              <w:rPr>
                <w:highlight w:val="yellow"/>
              </w:rPr>
            </w:pPr>
            <w:r>
              <w:rPr>
                <w:highlight w:val="yellow"/>
              </w:rPr>
              <w:t>The Profit</w:t>
            </w:r>
          </w:p>
          <w:p w:rsidR="00F64FF8" w:rsidRDefault="009A49B6">
            <w:pPr>
              <w:numPr>
                <w:ilvl w:val="0"/>
                <w:numId w:val="1"/>
              </w:numPr>
              <w:spacing w:after="240"/>
              <w:ind w:hanging="360"/>
              <w:rPr>
                <w:highlight w:val="yellow"/>
              </w:rPr>
            </w:pPr>
            <w:r>
              <w:rPr>
                <w:highlight w:val="yellow"/>
              </w:rPr>
              <w:t xml:space="preserve">Bar Rescue </w:t>
            </w:r>
          </w:p>
          <w:p w:rsidR="00F64FF8" w:rsidRDefault="009A49B6">
            <w:pPr>
              <w:spacing w:after="240"/>
            </w:pPr>
            <w:r>
              <w:rPr>
                <w:highlight w:val="yellow"/>
              </w:rPr>
              <w:t>Work on Team Project</w:t>
            </w:r>
          </w:p>
        </w:tc>
      </w:tr>
      <w:tr w:rsidR="00F64FF8">
        <w:trPr>
          <w:trHeight w:val="360"/>
        </w:trPr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rFonts w:ascii="Arial" w:eastAsia="Arial" w:hAnsi="Arial" w:cs="Arial"/>
                <w:b/>
                <w:highlight w:val="yellow"/>
              </w:rPr>
              <w:t>Week 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15" w:type="dxa"/>
              <w:right w:w="115" w:type="dxa"/>
            </w:tcMar>
          </w:tcPr>
          <w:p w:rsidR="00F64FF8" w:rsidRDefault="00F64FF8"/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highlight w:val="yellow"/>
              </w:rPr>
              <w:t>Discuss Parts 2 &amp; 3</w:t>
            </w: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pPr>
              <w:spacing w:after="240"/>
            </w:pPr>
            <w:r>
              <w:rPr>
                <w:highlight w:val="yellow"/>
              </w:rPr>
              <w:t>Work on Team Project</w:t>
            </w:r>
          </w:p>
          <w:p w:rsidR="00F64FF8" w:rsidRDefault="009A49B6">
            <w:pPr>
              <w:spacing w:after="240"/>
            </w:pPr>
            <w:r>
              <w:rPr>
                <w:highlight w:val="yellow"/>
              </w:rPr>
              <w:t>Blog Assignment for Extra Credit</w:t>
            </w: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rFonts w:ascii="Arial" w:eastAsia="Arial" w:hAnsi="Arial" w:cs="Arial"/>
                <w:b/>
                <w:highlight w:val="yellow"/>
              </w:rPr>
              <w:t>Week 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15" w:type="dxa"/>
              <w:right w:w="115" w:type="dxa"/>
            </w:tcMar>
          </w:tcPr>
          <w:p w:rsidR="00F64FF8" w:rsidRDefault="00F64FF8"/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highlight w:val="yellow"/>
              </w:rPr>
              <w:t>Discuss Parts 3 &amp; 4</w:t>
            </w: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pPr>
              <w:spacing w:after="240"/>
            </w:pPr>
            <w:r>
              <w:rPr>
                <w:highlight w:val="yellow"/>
              </w:rPr>
              <w:t>Work on Team Project</w:t>
            </w:r>
          </w:p>
          <w:p w:rsidR="00F64FF8" w:rsidRDefault="009A49B6">
            <w:pPr>
              <w:spacing w:after="240"/>
            </w:pPr>
            <w:r>
              <w:rPr>
                <w:highlight w:val="yellow"/>
              </w:rPr>
              <w:t>Final Examination</w:t>
            </w:r>
          </w:p>
          <w:p w:rsidR="00F64FF8" w:rsidRDefault="009A49B6">
            <w:pPr>
              <w:spacing w:after="240"/>
            </w:pPr>
            <w:r>
              <w:rPr>
                <w:highlight w:val="yellow"/>
              </w:rPr>
              <w:t>Group or individual presentations</w:t>
            </w: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rFonts w:ascii="Arial" w:eastAsia="Arial" w:hAnsi="Arial" w:cs="Arial"/>
                <w:b/>
                <w:highlight w:val="yellow"/>
              </w:rPr>
              <w:t>Week 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left w:w="115" w:type="dxa"/>
              <w:right w:w="115" w:type="dxa"/>
            </w:tcMar>
          </w:tcPr>
          <w:p w:rsidR="00F64FF8" w:rsidRDefault="00F64FF8"/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highlight w:val="yellow"/>
              </w:rPr>
              <w:t>No Class</w:t>
            </w: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/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F64FF8">
            <w:pPr>
              <w:spacing w:after="240"/>
            </w:pPr>
          </w:p>
        </w:tc>
      </w:tr>
      <w:tr w:rsidR="00F64FF8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r>
              <w:rPr>
                <w:rFonts w:ascii="Arial" w:eastAsia="Arial" w:hAnsi="Arial" w:cs="Arial"/>
                <w:b/>
                <w:highlight w:val="yellow"/>
              </w:rPr>
              <w:lastRenderedPageBreak/>
              <w:t>Course Evaluation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15" w:type="dxa"/>
              <w:right w:w="115" w:type="dxa"/>
            </w:tcMar>
          </w:tcPr>
          <w:p w:rsidR="00F64FF8" w:rsidRDefault="009A49B6">
            <w:pPr>
              <w:spacing w:after="240"/>
            </w:pPr>
            <w:r>
              <w:rPr>
                <w:rFonts w:ascii="Arial" w:eastAsia="Arial" w:hAnsi="Arial" w:cs="Arial"/>
                <w:highlight w:val="yellow"/>
              </w:rPr>
              <w:t xml:space="preserve">At the end of the course, you will receive an evaluation. Your feedback </w:t>
            </w:r>
            <w:proofErr w:type="gramStart"/>
            <w:r>
              <w:rPr>
                <w:rFonts w:ascii="Arial" w:eastAsia="Arial" w:hAnsi="Arial" w:cs="Arial"/>
                <w:highlight w:val="yellow"/>
              </w:rPr>
              <w:t>is  critically</w:t>
            </w:r>
            <w:proofErr w:type="gramEnd"/>
            <w:r>
              <w:rPr>
                <w:rFonts w:ascii="Arial" w:eastAsia="Arial" w:hAnsi="Arial" w:cs="Arial"/>
                <w:highlight w:val="yellow"/>
              </w:rPr>
              <w:t xml:space="preserve"> important to Lemoyne Owens College in order to maintain a quality program.</w:t>
            </w:r>
          </w:p>
        </w:tc>
      </w:tr>
    </w:tbl>
    <w:p w:rsidR="00F64FF8" w:rsidRDefault="009A49B6">
      <w:r>
        <w:rPr>
          <w:rFonts w:ascii="Arial" w:eastAsia="Arial" w:hAnsi="Arial" w:cs="Arial"/>
        </w:rPr>
        <w:t> </w:t>
      </w:r>
    </w:p>
    <w:p w:rsidR="00F64FF8" w:rsidRDefault="00F64FF8"/>
    <w:p w:rsidR="00F64FF8" w:rsidRDefault="00F64FF8"/>
    <w:p w:rsidR="00F64FF8" w:rsidRDefault="009A49B6">
      <w:r>
        <w:rPr>
          <w:b/>
          <w:sz w:val="36"/>
          <w:szCs w:val="36"/>
          <w:u w:val="single"/>
        </w:rPr>
        <w:t>Instructor reserves the right to add or subtract assignments or assessments.</w:t>
      </w:r>
    </w:p>
    <w:sectPr w:rsidR="00F64FF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B6" w:rsidRDefault="009A49B6">
      <w:r>
        <w:separator/>
      </w:r>
    </w:p>
  </w:endnote>
  <w:endnote w:type="continuationSeparator" w:id="0">
    <w:p w:rsidR="009A49B6" w:rsidRDefault="009A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F8" w:rsidRDefault="009A49B6">
    <w:r>
      <w:rPr>
        <w:sz w:val="12"/>
        <w:szCs w:val="12"/>
      </w:rPr>
      <w:t xml:space="preserve">Revised 08/10/2011 //Macintosh </w:t>
    </w:r>
    <w:proofErr w:type="spellStart"/>
    <w:r>
      <w:rPr>
        <w:sz w:val="12"/>
        <w:szCs w:val="12"/>
      </w:rPr>
      <w:t>HD</w:t>
    </w:r>
    <w:proofErr w:type="gramStart"/>
    <w:r>
      <w:rPr>
        <w:sz w:val="12"/>
        <w:szCs w:val="12"/>
      </w:rPr>
      <w:t>:Users:allensavage:Desktop:LOC:ADCP</w:t>
    </w:r>
    <w:proofErr w:type="spellEnd"/>
    <w:proofErr w:type="gramEnd"/>
    <w:r>
      <w:rPr>
        <w:sz w:val="12"/>
        <w:szCs w:val="12"/>
      </w:rPr>
      <w:t xml:space="preserve"> 335 </w:t>
    </w:r>
    <w:proofErr w:type="spellStart"/>
    <w:r>
      <w:rPr>
        <w:sz w:val="12"/>
        <w:szCs w:val="12"/>
      </w:rPr>
      <w:t>Mangrl</w:t>
    </w:r>
    <w:proofErr w:type="spellEnd"/>
    <w:r>
      <w:rPr>
        <w:sz w:val="12"/>
        <w:szCs w:val="12"/>
      </w:rPr>
      <w:t xml:space="preserve"> </w:t>
    </w:r>
    <w:proofErr w:type="spellStart"/>
    <w:r>
      <w:rPr>
        <w:sz w:val="12"/>
        <w:szCs w:val="12"/>
      </w:rPr>
      <w:t>Marketg</w:t>
    </w:r>
    <w:proofErr w:type="spellEnd"/>
    <w:r>
      <w:rPr>
        <w:sz w:val="12"/>
        <w:szCs w:val="12"/>
      </w:rPr>
      <w:t xml:space="preserve"> Syllabus.doc</w:t>
    </w:r>
  </w:p>
  <w:p w:rsidR="00F64FF8" w:rsidRDefault="009A49B6">
    <w:pPr>
      <w:spacing w:after="720"/>
    </w:pPr>
    <w:r>
      <w:rPr>
        <w:sz w:val="12"/>
        <w:szCs w:val="12"/>
      </w:rPr>
      <w:t>LMW/FAHD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B6" w:rsidRDefault="009A49B6">
      <w:r>
        <w:separator/>
      </w:r>
    </w:p>
  </w:footnote>
  <w:footnote w:type="continuationSeparator" w:id="0">
    <w:p w:rsidR="009A49B6" w:rsidRDefault="009A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F8" w:rsidRDefault="009A49B6">
    <w:pPr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4C1AAC">
      <w:rPr>
        <w:noProof/>
      </w:rPr>
      <w:t>5</w:t>
    </w:r>
    <w:r>
      <w:fldChar w:fldCharType="end"/>
    </w:r>
  </w:p>
  <w:p w:rsidR="00F64FF8" w:rsidRDefault="009A49B6">
    <w:pPr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3E2C"/>
    <w:multiLevelType w:val="multilevel"/>
    <w:tmpl w:val="DC9AAD9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56000257"/>
    <w:multiLevelType w:val="multilevel"/>
    <w:tmpl w:val="BF3CF0F6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8256429"/>
    <w:multiLevelType w:val="multilevel"/>
    <w:tmpl w:val="A47CB85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F8"/>
    <w:rsid w:val="004C1AAC"/>
    <w:rsid w:val="009A49B6"/>
    <w:rsid w:val="00F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109DA-60FE-445E-A8CE-1608375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Tahoma" w:eastAsia="Tahoma" w:hAnsi="Tahoma" w:cs="Tahoma"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avage.l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Savage</dc:creator>
  <cp:lastModifiedBy>Allen Savage</cp:lastModifiedBy>
  <cp:revision>2</cp:revision>
  <dcterms:created xsi:type="dcterms:W3CDTF">2016-02-11T01:43:00Z</dcterms:created>
  <dcterms:modified xsi:type="dcterms:W3CDTF">2016-02-11T01:43:00Z</dcterms:modified>
</cp:coreProperties>
</file>